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rPr>
          <w:rFonts w:ascii="Verdana" w:hAnsi="Verdana" w:eastAsia="Verdana" w:cs="Verdana"/>
          <w:b/>
          <w:bCs/>
          <w:sz w:val="24"/>
          <w:szCs w:val="24"/>
        </w:rPr>
      </w:pPr>
      <w:r>
        <w:rPr>
          <w:noProof/>
        </w:rPr>
        <w:drawing>
          <wp:anchor distT="90170" distB="90170" distL="90170" distR="90170" simplePos="0" relativeHeight="251658241" behindDoc="0" locked="0" layoutInCell="0" hidden="0" allowOverlap="1">
            <wp:simplePos x="0" y="0"/>
            <wp:positionH relativeFrom="page">
              <wp:posOffset>705485</wp:posOffset>
            </wp:positionH>
            <wp:positionV relativeFrom="page">
              <wp:posOffset>277495</wp:posOffset>
            </wp:positionV>
            <wp:extent cx="1094740" cy="1037590"/>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val="SMDATA_17_IM7FXRMAAAAlAAAAE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Eg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IAAAAAAAAAAAAAAAAAAAAAAABXBAAAAAAAAAAAAAC1AQAAvAYAAGIGAAAAAAAAVwQAALUBAAAoAAAACAAAAAEAAAABAAAAMAAAABQAAAAAAAAAAAD//wAAAQAAAP//AAABAA=="/>
                        </a:ext>
                      </a:extLst>
                    </pic:cNvPicPr>
                  </pic:nvPicPr>
                  <pic:blipFill>
                    <a:blip r:embed="rId7"/>
                    <a:stretch>
                      <a:fillRect/>
                    </a:stretch>
                  </pic:blipFill>
                  <pic:spPr>
                    <a:xfrm>
                      <a:off x="0" y="0"/>
                      <a:ext cx="1094740" cy="1037590"/>
                    </a:xfrm>
                    <a:prstGeom prst="rect">
                      <a:avLst/>
                    </a:prstGeom>
                    <a:noFill/>
                    <a:ln w="635">
                      <a:noFill/>
                    </a:ln>
                  </pic:spPr>
                </pic:pic>
              </a:graphicData>
            </a:graphic>
          </wp:anchor>
        </w:drawing>
      </w:r>
      <w:r>
        <w:rPr>
          <w:noProof/>
        </w:rPr>
        <mc:AlternateContent>
          <mc:Choice Requires="wps">
            <w:drawing>
              <wp:anchor distT="90170" distB="90170" distL="90170" distR="90170" simplePos="0" relativeHeight="251658242" behindDoc="0" locked="0" layoutInCell="0" hidden="0" allowOverlap="1">
                <wp:simplePos x="0" y="0"/>
                <wp:positionH relativeFrom="page">
                  <wp:posOffset>1913255</wp:posOffset>
                </wp:positionH>
                <wp:positionV relativeFrom="page">
                  <wp:posOffset>601980</wp:posOffset>
                </wp:positionV>
                <wp:extent cx="4934585" cy="637540"/>
                <wp:effectExtent l="0" t="0" r="0" b="0"/>
                <wp:wrapSquare wrapText="bothSides"/>
                <wp:docPr id="2" name="Textbox1"/>
                <wp:cNvGraphicFramePr/>
                <a:graphic xmlns:a="http://schemas.openxmlformats.org/drawingml/2006/main">
                  <a:graphicData uri="http://schemas.microsoft.com/office/word/2010/wordprocessingShape">
                    <wps:wsp>
                      <wps:cNvSpPr txBox="1">
                        <a:extLst>
                          <a:ext uri="smNativeData">
                            <sm:smNativeData xmlns:sm="smNativeData" val="SMDATA_15_IM7F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EgAAACADAAAAAAAAAAAAAAEAAACgMgAAVgcAAKr4//8BAAAAf39/AAEAAABkAAAAAAAAABQAAABAHwAAAAAAACYAAAAAAAAAwOD//wAAAAAmAAAAZAAAABYAAABMAAAAAAAAAAAAAAAEAAAAAAAAAAEAAAB/f38AAAAAACgAAAAoAAAAZAAAAGQAAAAAAAAAzMzMAAAAAABQAAAAUAAAAGQAAABkAAAAAAAAABcAAAAUAAAAAAAAAOwD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MULAAAAAAAAAAAAALQDAABbHgAA7AMAAAAAAADFCwAAtAMAACgAAAAIAAAAAQAAAAIAAAAwAAAAFAAAAAAAAAAAAP//AAABAAAA//8AAAEA"/>
                          </a:ext>
                        </a:extLst>
                      </wps:cNvSpPr>
                      <wps:spPr>
                        <a:xfrm>
                          <a:off x="0" y="0"/>
                          <a:ext cx="4934585" cy="637540"/>
                        </a:xfrm>
                        <a:prstGeom prst="rect">
                          <a:avLst/>
                        </a:prstGeom>
                        <a:noFill/>
                        <a:ln w="635">
                          <a:noFill/>
                        </a:ln>
                      </wps:spPr>
                      <wps:txbx>
                        <w:txbxContent>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t>◊ Institut für Seelsorgeausbildung (ISA) ◊ Pforzheimer Straße 186 ◊ 76275 Ettlingen</w:t>
                            </w:r>
                          </w:p>
                          <w:p>
                            <w:pPr>
                              <w:spacing/>
                              <w:jc w:val="right"/>
                              <w:rPr>
                                <w:rFonts w:ascii="Verdana" w:hAnsi="Verdana" w:eastAsia="Verdana" w:cs="Verdana"/>
                                <w:color w:val="7f7f7f"/>
                                <w:sz w:val="14"/>
                                <w:szCs w:val="14"/>
                              </w:rPr>
                            </w:pPr>
                            <w:r>
                              <w:rPr>
                                <w:rFonts w:ascii="Verdana" w:hAnsi="Verdana" w:eastAsia="Verdana" w:cs="Verdana"/>
                                <w:color w:val="7f7f7f"/>
                                <w:sz w:val="14"/>
                                <w:szCs w:val="14"/>
                              </w:rPr>
                              <w:t>◊ Fon 07243-350 72 97 ◊ E-Mail: info@isa-institut.de ◊ www.isa-institut.de</w:t>
                            </w:r>
                          </w:p>
                        </w:txbxContent>
                      </wps:txbx>
                      <wps:bodyPr spcFirstLastPara="1" vertOverflow="clip" horzOverflow="clip"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1" o:spid="_x0000_s1026" type="#_x0000_t202" style="position:absolute;margin-left:150.65pt;margin-top:47.40pt;mso-position-horizontal-relative:page;mso-position-vertical-relative:page;width:388.55pt;height:50.20pt;z-index:251658242;mso-wrap-distance-left:7.10pt;mso-wrap-distance-top:7.10pt;mso-wrap-distance-right:7.10pt;mso-wrap-distance-bottom:7.10pt;mso-wrap-style:square" stroked="f" filled="f" v:ext="SMDATA_15_IM7FXR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BAAAAAQAAAAEAAAABAAAAAQAAAAEAAAAAAAAAZAAAAGQAAAAAAAAAZAAAAGQAAAAVAAAAYAAAAAAAAAAAAAAAEgAAACADAAAAAAAAAAAAAAEAAACgMgAAVgcAAKr4//8BAAAAf39/AAEAAABkAAAAAAAAABQAAABAHwAAAAAAACYAAAAAAAAAwOD//wAAAAAmAAAAZAAAABYAAABMAAAAAAAAAAAAAAAEAAAAAAAAAAEAAAB/f38AAAAAACgAAAAoAAAAZAAAAGQAAAAAAAAAzMzMAAAAAABQAAAAUAAAAGQAAABkAAAAAAAAABcAAAAUAAAAAAAAAOwD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MULAAAAAAAAAAAAALQDAABbHgAA7AMAAAAAAADFCwAAtAMAACgAAAAIAAAAAQAAAAIAAAAwAAAAFAAAAAAAAAAAAP//AAABAAAA//8AAAEA" o:insetmode="custom">
                <w10:wrap type="square" anchorx="page" anchory="page"/>
                <v:textbox style="mso-fit-shape-to-text:t" inset="2.8pt,2.8pt,2.8pt,2.8pt">
                  <w:txbxContent>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r>
                    </w:p>
                    <w:p>
                      <w:pPr>
                        <w:spacing/>
                        <w:jc w:val="right"/>
                        <w:rPr>
                          <w:rFonts w:ascii="Verdana" w:hAnsi="Verdana" w:eastAsia="Verdana" w:cs="Verdana"/>
                          <w:color w:val="7f7f7f"/>
                          <w:sz w:val="14"/>
                          <w:szCs w:val="14"/>
                        </w:rPr>
                      </w:pPr>
                      <w:r>
                        <w:rPr>
                          <w:rFonts w:ascii="Verdana" w:hAnsi="Verdana" w:eastAsia="Verdana" w:cs="Verdana"/>
                          <w:color w:val="7f7f7f"/>
                          <w:sz w:val="14"/>
                          <w:szCs w:val="14"/>
                        </w:rPr>
                        <w:t>◊ Institut für Seelsorgeausbildung (ISA) ◊ Pforzheimer Straße 186 ◊ 76275 Ettlingen</w:t>
                      </w:r>
                    </w:p>
                    <w:p>
                      <w:pPr>
                        <w:spacing/>
                        <w:jc w:val="right"/>
                        <w:rPr>
                          <w:rFonts w:ascii="Verdana" w:hAnsi="Verdana" w:eastAsia="Verdana" w:cs="Verdana"/>
                          <w:color w:val="7f7f7f"/>
                          <w:sz w:val="14"/>
                          <w:szCs w:val="14"/>
                        </w:rPr>
                      </w:pPr>
                      <w:r>
                        <w:rPr>
                          <w:rFonts w:ascii="Verdana" w:hAnsi="Verdana" w:eastAsia="Verdana" w:cs="Verdana"/>
                          <w:color w:val="7f7f7f"/>
                          <w:sz w:val="14"/>
                          <w:szCs w:val="14"/>
                        </w:rPr>
                        <w:t>◊ Fon 07243-350 72 97 ◊ E-Mail: info@isa-institut.de ◊ www.isa-institut.de</w:t>
                      </w:r>
                    </w:p>
                  </w:txbxContent>
                </v:textbox>
              </v:shape>
            </w:pict>
          </mc:Fallback>
        </mc:AlternateContent>
      </w:r>
      <w:r>
        <w:rPr>
          <w:noProof/>
        </w:rPr>
        <mc:AlternateContent>
          <mc:Choice Requires="wps">
            <w:drawing>
              <wp:anchor distT="90170" distB="90170" distL="90170" distR="90170" simplePos="0" relativeHeight="251658243" behindDoc="0" locked="0" layoutInCell="0" hidden="0" allowOverlap="1">
                <wp:simplePos x="0" y="0"/>
                <wp:positionH relativeFrom="page">
                  <wp:posOffset>1913890</wp:posOffset>
                </wp:positionH>
                <wp:positionV relativeFrom="page">
                  <wp:posOffset>1200785</wp:posOffset>
                </wp:positionV>
                <wp:extent cx="4925060" cy="1270"/>
                <wp:effectExtent l="635" t="635" r="635" b="635"/>
                <wp:wrapSquare wrapText="bothSides"/>
                <wp:docPr id="3" name="Linie1"/>
                <wp:cNvGraphicFramePr/>
                <a:graphic xmlns:a="http://schemas.openxmlformats.org/drawingml/2006/main">
                  <a:graphicData uri="http://schemas.microsoft.com/office/word/2010/wordprocessingShape">
                    <wps:wsp>
                      <wps:cNvSpPr>
                        <a:extLst>
                          <a:ext uri="smNativeData">
                            <sm:smNativeData xmlns:sm="smNativeData" val="SMDATA_15_IM7F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BAAAAAQAAAAEAAAABAAAAAQAAAAEAAAAAAAAAZAAAAGQAAAAAAAAAZAAAAGQAAAAVAAAAYAAAAAAAAAAAAAAAEg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MYLAAAAAAAAAAAAAGMHAABMHgAAAgAAAAAAAADGCwAAYwcAACgAAAAIAAAAAQAAAAEAAAAwAAAAFAAAAAAAAAAAAP//AAABAAAA//8AAAEA"/>
                          </a:ext>
                        </a:extLst>
                      </wps:cNvSpPr>
                      <wps:spPr>
                        <a:xfrm>
                          <a:off x="0" y="0"/>
                          <a:ext cx="4925060" cy="1270"/>
                        </a:xfrm>
                        <a:prstGeom prst="line">
                          <a:avLst/>
                        </a:prstGeom>
                        <a:noFill/>
                        <a:ln w="635">
                          <a:solidFill>
                            <a:srgbClr val="000000"/>
                          </a:solidFill>
                        </a:ln>
                      </wps:spPr>
                      <wps:bodyPr spcFirstLastPara="1" vertOverflow="clip" horzOverflow="clip" upright="1">
                        <a:noAutofit/>
                      </wps:bodyPr>
                    </wps:wsp>
                  </a:graphicData>
                </a:graphic>
              </wp:anchor>
            </w:drawing>
          </mc:Choice>
          <mc:Fallback>
            <w:pict>
              <v:line id="Linie1" o:spid="_x0000_s1027" style="position:absolute;mso-position-horizontal-relative:page;mso-position-vertical-relative:page;width:387.80pt;height:0.10pt;z-index:251658243;mso-wrap-distance-left:7.10pt;mso-wrap-distance-top:7.10pt;mso-wrap-distance-right:7.10pt;mso-wrap-distance-bottom:7.10pt;mso-wrap-style:square" from="150.70pt,94.55pt" to="538.50pt,94.65pt" strokeweight="0.05pt" filled="f" v:ext="SMDATA_15_IM7F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BAAAAAQAAAAEAAAABAAAAAQAAAAEAAAAAAAAAZAAAAGQAAAAAAAAAZAAAAGQAAAAVAAAAYAAAAAAAAAAAAAAAEg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AAogAAAAAAAAAAAAAAAAAAAAAAAMYLAAAAAAAAAAAAAGMHAABMHgAAAgAAAAAAAADGCwAAYwcAACgAAAAIAAAAAQAAAAEAAAAwAAAAFAAAAAAAAAAAAP//AAABAAAA//8AAAEA">
                <w10:wrap type="square" anchorx="page" anchory="page"/>
              </v:line>
            </w:pict>
          </mc:Fallback>
        </mc:AlternateContent>
      </w:r>
      <w:r>
        <w:rPr>
          <w:rFonts w:ascii="Verdana" w:hAnsi="Verdana" w:eastAsia="Verdana" w:cs="Verdana"/>
          <w:b/>
          <w:bCs/>
          <w:sz w:val="24"/>
          <w:szCs w:val="24"/>
        </w:rPr>
      </w:r>
    </w:p>
    <w:p>
      <w:pPr>
        <w:rPr>
          <w:rFonts w:ascii="Verdana" w:hAnsi="Verdana" w:eastAsia="Verdana" w:cs="Verdana"/>
          <w:b/>
          <w:bCs/>
          <w:sz w:val="24"/>
          <w:szCs w:val="24"/>
        </w:rPr>
      </w:pPr>
      <w:r>
        <w:rPr>
          <w:rFonts w:ascii="Verdana" w:hAnsi="Verdana" w:eastAsia="Verdana" w:cs="Verdana"/>
          <w:b/>
          <w:bCs/>
          <w:sz w:val="24"/>
          <w:szCs w:val="24"/>
        </w:rPr>
        <w:t>Mindfulness Based Cognitive Therapy (MBCT)</w:t>
      </w:r>
    </w:p>
    <w:p>
      <w:pPr>
        <w:rPr>
          <w:rFonts w:ascii="Verdana" w:hAnsi="Verdana" w:eastAsia="Verdana" w:cs="Verdana"/>
        </w:rPr>
      </w:pPr>
      <w:r>
        <w:rPr>
          <w:rFonts w:ascii="Verdana" w:hAnsi="Verdana" w:eastAsia="Verdana" w:cs="Verdana"/>
        </w:rPr>
        <w:t>Gruppengprogramm</w:t>
      </w:r>
    </w:p>
    <w:p>
      <w:pPr>
        <w:rPr>
          <w:rFonts w:ascii="Verdana" w:hAnsi="Verdana" w:eastAsia="Verdana" w:cs="Verdana"/>
        </w:rPr>
      </w:pPr>
      <w:r>
        <w:rPr>
          <w:rFonts w:ascii="Verdana" w:hAnsi="Verdana" w:eastAsia="Verdana" w:cs="Verdana"/>
        </w:rPr>
      </w:r>
    </w:p>
    <w:p>
      <w:pPr>
        <w:ind w:left="567" w:hanging="567"/>
        <w:rPr>
          <w:kern w:val="1"/>
        </w:rPr>
      </w:pPr>
      <w:r>
        <w:rPr>
          <w:kern w:val="1"/>
        </w:rPr>
      </w:r>
    </w:p>
    <w:tbl>
      <w:tblPr>
        <w:tblStyle w:val="TableNormal"/>
        <w:name w:val="Tabelle4"/>
        <w:tabOrder w:val="0"/>
        <w:jc w:val="left"/>
        <w:tblInd w:w="567" w:type="dxa"/>
        <w:tblW w:w="9063" w:type="dxa"/>
        <w:pPr>
          <w:ind w:left="567" w:hanging="567"/>
        </w:pPr>
        <w:tblLook w:val="0600" w:firstRow="0" w:lastRow="0" w:firstColumn="0" w:lastColumn="0" w:noHBand="1" w:noVBand="1"/>
      </w:tblPr>
      <w:tblGrid>
        <w:gridCol w:w="3021"/>
        <w:gridCol w:w="3021"/>
        <w:gridCol w:w="3021"/>
      </w:tblGrid>
      <w:tr>
        <w:trPr>
          <w:tblHeader w:val="0"/>
          <w:cantSplit/>
          <w:trHeight w:val="0" w:hRule="auto"/>
        </w:trPr>
        <w:tc>
          <w:tcPr>
            <w:tcW w:w="3021" w:type="dxa"/>
            <w:shd w:val="solid" w:color="DEDEDE" tmshd="1460470212, 0, 16777215"/>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Sitzung</w:t>
            </w:r>
          </w:p>
        </w:tc>
        <w:tc>
          <w:tcPr>
            <w:tcW w:w="3021" w:type="dxa"/>
            <w:shd w:val="solid" w:color="DEDEDE" tmshd="1460470212, 0, 16777215"/>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Thema</w:t>
            </w:r>
          </w:p>
        </w:tc>
        <w:tc>
          <w:tcPr>
            <w:tcW w:w="3021" w:type="dxa"/>
            <w:shd w:val="solid" w:color="DEDEDE" tmshd="1460470212, 0, 16777215"/>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Übungen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Der Autopilot</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Das Aussteigen aus dem Autopilot-Modus</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Rosinenübung; Body-Scan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Umgang mit Hindernissen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Body-Scan; Kognitive Übung: Verbindung von Gedanken und Gefühlen (psychoedukativ)</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Achtsames Atmen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Atemmeditation; Yoga, „Atemraum“</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 xml:space="preserve">Im gegenwärtigen Augenblick </w:t>
            </w:r>
          </w:p>
          <w:p>
            <w:pPr>
              <w:rPr>
                <w:kern w:val="1"/>
              </w:rPr>
            </w:pPr>
            <w:r>
              <w:rPr>
                <w:kern w:val="1"/>
              </w:rPr>
              <w:t>verweilen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Aversion und Anhaftung</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Atemübungen wie oben; Übung zum achtsamen Hören oder Sehen; Achtsames Gehen; Psychoedukation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Zulassen und Akzeptanz</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u.a. fürsorglicher Umgang mit sich selbst</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Atemübungen wie oben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Gedanken sind keine Tatsachen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 xml:space="preserve">Umgang mit Gedanken </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Atemübungen wie oben; Übung zu Stimmungen, Gedanken und alternativen Sichtweisen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Wie kann ich am besten aufpassen?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Rückfallrisiko; Reaktion auf der Verhaltensebene aus einer achtsamen Haltung heraus</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Atemübungen wie oben; Übung zur Erforschung des Zusammenhangs von Aktivität und Stimmung; Erstellen einer Liste „von vergnüglichen und bewältigenden Aktivitäten“, Erkennen von Warnsignalen</w:t>
            </w:r>
          </w:p>
        </w:tc>
      </w:tr>
      <w:tr>
        <w:trPr>
          <w:tblHeader w:val="0"/>
          <w:cantSplit/>
          <w:trHeight w:val="0" w:hRule="auto"/>
        </w:trPr>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Das Gelernte anwenden, um mit Gefühlen in der Zukunft besser umgehen zu können</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Rückblick auf die Erfahrungen im Kurs</w:t>
            </w:r>
          </w:p>
        </w:tc>
        <w:tc>
          <w:tcPr>
            <w:tcW w:w="3021" w:type="dxa"/>
            <w:shd w:val="none"/>
            <w:tcMar>
              <w:top w:w="57" w:type="dxa"/>
              <w:left w:w="57" w:type="dxa"/>
              <w:bottom w:w="57"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73244448" protected="0"/>
          </w:tcPr>
          <w:p>
            <w:pPr>
              <w:rPr>
                <w:kern w:val="1"/>
              </w:rPr>
            </w:pPr>
            <w:r>
              <w:rPr>
                <w:kern w:val="1"/>
              </w:rPr>
              <w:t>Body-Scan; Rückblick, Abschlussritual</w:t>
            </w:r>
          </w:p>
        </w:tc>
      </w:tr>
    </w:tbl>
    <w:p>
      <w:pPr>
        <w:ind w:left="567" w:hanging="567"/>
        <w:rPr>
          <w:kern w:val="1"/>
        </w:rPr>
      </w:pPr>
      <w:r>
        <w:rPr>
          <w:kern w:val="1"/>
        </w:rPr>
      </w:r>
    </w:p>
    <w:p>
      <w:pPr>
        <w:rPr>
          <w:kern w:val="1"/>
          <w:sz w:val="16"/>
          <w:szCs w:val="16"/>
        </w:rPr>
      </w:pPr>
      <w:r>
        <w:rPr>
          <w:kern w:val="1"/>
          <w:sz w:val="16"/>
          <w:szCs w:val="16"/>
        </w:rPr>
        <w:t xml:space="preserve">Michalak, Johannes, Meibert, Petra, Heidenreich, Thomas, Achtsamkeitsbasierte Kognitive Therapie - ein neuer Ansatz zur Rückfallprophylaxe bei Depressionen, in: Anderssen-Reuster, Ulrike (Hg.), </w:t>
      </w:r>
      <w:r>
        <w:rPr>
          <w:i/>
          <w:iCs/>
          <w:kern w:val="1"/>
          <w:sz w:val="16"/>
          <w:szCs w:val="16"/>
        </w:rPr>
        <w:t xml:space="preserve">Achtsamkeit in Psychotherapie und Psychosomatik: Haltung und Methode, </w:t>
      </w:r>
      <w:r>
        <w:rPr>
          <w:kern w:val="1"/>
          <w:sz w:val="16"/>
          <w:szCs w:val="16"/>
        </w:rPr>
        <w:t>mit einem Geleitwort v. M. Bohus (Schattauer: Stuttgart, New York, 2007) , 172-184</w:t>
      </w:r>
      <w:r>
        <w:rPr>
          <w:kern w:val="1"/>
          <w:sz w:val="16"/>
          <w:szCs w:val="16"/>
        </w:rPr>
      </w:r>
    </w:p>
    <w:p>
      <w:pPr>
        <w:rPr>
          <w:kern w:val="1"/>
          <w:sz w:val="16"/>
          <w:szCs w:val="16"/>
        </w:rPr>
      </w:pPr>
      <w:r>
        <w:rPr>
          <w:kern w:val="1"/>
          <w:sz w:val="16"/>
          <w:szCs w:val="16"/>
        </w:rPr>
      </w:r>
    </w:p>
    <w:p>
      <w:pPr>
        <w:ind w:left="567" w:hanging="567"/>
        <w:rPr>
          <w:kern w:val="1"/>
        </w:rPr>
      </w:pPr>
      <w:r>
        <w:rPr>
          <w:kern w:val="1"/>
        </w:rPr>
        <w:tab/>
        <w:t xml:space="preserve">Acht  ein- bis zweistündige Sitzungen. Zusätzlich ist ein „Tag der Achtsamkeit“ möglich. „Darüber hinaus finden im Jahr nach dem Ende des Programms vier weitere Sitzungen statt“ - wieder zusammenkommen, Erfahrungen besprechen, weiter üben usw. Zuhause mindestens 45 min. täglich „formelle Achtsamkeitsübungen“. „Insgesamt sollten die Teilnehmer ein ‘Gefühl’ für den Umgang mit sich selbst und mit ihrer Umwelt entwickeln, das durch Achtsamkeit, Nicht-Beurteilen, Geduld, Vertrauen, Nicht-Greifen und Akzeptanz geprägt ist“. Ferner gilt es zu lernen: Ungünstige kognitive Entwicklungen selbst erkennen, rechtzeit „aussteigen“.  </w:t>
      </w:r>
    </w:p>
    <w:p>
      <w:pPr>
        <w:ind w:left="567" w:hanging="567"/>
        <w:rPr>
          <w:kern w:val="1"/>
        </w:rPr>
      </w:pPr>
      <w:r>
        <w:rPr>
          <w:kern w:val="1"/>
        </w:rPr>
      </w:r>
    </w:p>
    <w:p>
      <w:pPr>
        <w:ind w:left="567" w:hanging="567"/>
        <w:rPr>
          <w:kern w:val="1"/>
        </w:rPr>
      </w:pPr>
      <w:r>
        <w:rPr>
          <w:kern w:val="1"/>
        </w:rPr>
        <w:tab/>
        <w:t xml:space="preserve">Atemübung: Der Atem wird 10-15 min. lang „achtsam verfolgt.“ </w:t>
      </w:r>
    </w:p>
    <w:p>
      <w:pPr>
        <w:ind w:left="567" w:hanging="567"/>
        <w:rPr>
          <w:kern w:val="1"/>
        </w:rPr>
      </w:pPr>
      <w:r>
        <w:rPr>
          <w:kern w:val="1"/>
        </w:rPr>
      </w:r>
    </w:p>
    <w:p>
      <w:pPr>
        <w:ind w:left="567" w:hanging="567"/>
        <w:rPr>
          <w:kern w:val="1"/>
        </w:rPr>
      </w:pPr>
      <w:r>
        <w:rPr>
          <w:kern w:val="1"/>
        </w:rPr>
        <w:tab/>
        <w:t xml:space="preserve">Übung „Atemraum“ = sich täglich 3 min. Zeit nehmen, „um achtsam“ den Atem zu beobachten. Da diese Übung einfach zu erlernen ist, wird sie „von sehr vielen Teilnehmern [...] als überaus hilfreich empfunden.“ Zuerst festgesetzte Zeiten, dann generalisieren. </w:t>
      </w:r>
    </w:p>
    <w:p>
      <w:pPr>
        <w:rPr>
          <w:rFonts w:ascii="Verdana" w:hAnsi="Verdana" w:eastAsia="Verdana" w:cs="Verdana"/>
        </w:rPr>
      </w:pPr>
      <w:r>
        <w:rPr>
          <w:rFonts w:ascii="Verdana" w:hAnsi="Verdana" w:eastAsia="Verdana" w:cs="Verdana"/>
        </w:rPr>
      </w:r>
    </w:p>
    <w:p>
      <w:pPr>
        <w:rPr>
          <w:rFonts w:ascii="Verdana" w:hAnsi="Verdana" w:eastAsia="Verdana" w:cs="Verdana"/>
        </w:rPr>
      </w:pPr>
      <w:r>
        <w:rPr>
          <w:rFonts w:ascii="Verdana" w:hAnsi="Verdana" w:eastAsia="Verdana" w:cs="Verdana"/>
        </w:rPr>
      </w:r>
    </w:p>
    <w:p>
      <w:pPr>
        <w:rPr>
          <w:rFonts w:ascii="Verdana" w:hAnsi="Verdana" w:eastAsia="Verdana" w:cs="Verdana"/>
        </w:rPr>
      </w:pPr>
      <w:r>
        <w:rPr>
          <w:rFonts w:ascii="Verdana" w:hAnsi="Verdana" w:eastAsia="Verdana" w:cs="Verdana"/>
        </w:rPr>
      </w:r>
    </w:p>
    <w:sectPr>
      <w:footnotePr>
        <w:pos w:val="pageBottom"/>
        <w:numFmt w:val="decimal"/>
        <w:numStart w:val="1"/>
        <w:numRestart w:val="continuous"/>
      </w:footnotePr>
      <w:endnotePr>
        <w:pos w:val="docEnd"/>
        <w:numFmt w:val="lowerRoman"/>
        <w:numStart w:val="1"/>
        <w:numRestart w:val="continuous"/>
      </w:endnotePr>
      <w:headerReference w:type="default" r:id="rId8"/>
      <w:type w:val="continuous"/>
      <w:pgSz w:h="16840" w:w="11906"/>
      <w:pgMar w:left="1134" w:top="1134" w:right="1134" w:bottom="1134" w:header="566" w:footer="0"/>
      <w:paperSrc w:first="0" w:other="0" a="0" b="0"/>
      <w:pgNumType w:fmt="decimal"/>
      <w15:footnoteColumns w:val="1"/>
      <w:tmGutter w:val="1"/>
      <w:mirrorMargins w:val="0"/>
      <w:tmSection w:h="-1">
        <w:tmHeader w:id="0" w:h="0" edge="566"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Verdana">
    <w:panose1 w:val="020B060403050404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rPr>
        <w:rFonts w:ascii="Verdana" w:hAnsi="Verdana" w:eastAsia="Verdana" w:cs="Verdana"/>
        <w:color w:val="7f7f7f"/>
        <w:sz w:val="16"/>
        <w:szCs w:val="16"/>
      </w:rPr>
    </w:pPr>
    <w:r>
      <w:rPr>
        <w:rFonts w:ascii="Verdana" w:hAnsi="Verdana" w:eastAsia="Verdana" w:cs="Verdana"/>
        <w:color w:val="7f7f7f"/>
        <w:sz w:val="14"/>
        <w:szCs w:val="14"/>
      </w:rPr>
      <w:t xml:space="preserve">Institut für Seelsorgeausbildung (ISA)  2019 - </w:t>
    </w:r>
    <w:r>
      <w:rPr>
        <w:rFonts w:ascii="Verdana" w:hAnsi="Verdana" w:eastAsia="Verdana" w:cs="Verdana"/>
        <w:color w:val="7f7f7f"/>
        <w:sz w:val="14"/>
        <w:szCs w:val="14"/>
      </w:rPr>
      <w:fldChar w:fldCharType="begin"/>
      <w:instrText xml:space="preserve"> PAGE \* Arabic </w:instrText>
      <w:fldChar w:fldCharType="separate"/>
      <w:t>1</w:t>
      <w:fldChar w:fldCharType="end"/>
    </w:r>
    <w:r>
      <w:rPr>
        <w:rFonts w:ascii="Verdana" w:hAnsi="Verdana" w:eastAsia="Verdana" w:cs="Verdana"/>
        <w:color w:val="7f7f7f"/>
        <w:sz w:val="14"/>
        <w:szCs w:val="14"/>
      </w:rPr>
      <w:t>/</w:t>
    </w:r>
    <w:r>
      <w:rPr>
        <w:rFonts w:ascii="Verdana" w:hAnsi="Verdana" w:eastAsia="Verdana" w:cs="Verdana"/>
        <w:color w:val="7f7f7f"/>
        <w:sz w:val="14"/>
        <w:szCs w:val="14"/>
      </w:rPr>
      <w:fldChar w:fldCharType="begin"/>
      <w:instrText xml:space="preserve"> NUMPAGES \* Arabic </w:instrText>
      <w:fldChar w:fldCharType="separate"/>
      <w:t>1</w:t>
      <w:fldChar w:fldCharType="end"/>
    </w:r>
    <w:r>
      <w:rPr>
        <w:rFonts w:ascii="Verdana" w:hAnsi="Verdana" w:eastAsia="Verdana" w:cs="Verdana"/>
        <w:color w:val="7f7f7f"/>
        <w:sz w:val="14"/>
        <w:szCs w:val="14"/>
      </w:rPr>
      <w:t xml:space="preserve"> -</w:t>
    </w:r>
    <w:r>
      <w:rPr>
        <w:rFonts w:ascii="Verdana" w:hAnsi="Verdana" w:eastAsia="Verdana" w:cs="Verdana"/>
        <w:color w:val="7f7f7f"/>
        <w:sz w:val="16"/>
        <w:szCs w:val="16"/>
      </w:rPr>
      <w:t xml:space="preserve"> </w:t>
    </w:r>
    <w:r>
      <w:rPr>
        <w:rFonts w:ascii="Verdana" w:hAnsi="Verdana" w:eastAsia="Verdana" w:cs="Verdana"/>
        <w:color w:val="7f7f7f"/>
        <w:sz w:val="16"/>
        <w:szCs w:val="16"/>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usePrinterMetrics w:val="1"/>
    <w:compatSetting w:name="compatibilityMode" w:uri="http://schemas.microsoft.com/office/word" w:val="15"/>
  </w:compat>
  <w:shapeDefaults>
    <o:shapedefaults v:ext="edit" spidmax="2049"/>
    <o:shapelayout v:ext="edit">
      <o:rules v:ext="edit"/>
    </o:shapelayout>
  </w:shapeDefaults>
  <w:tmPrefOne w:val="0"/>
  <w:tmPrefTwo w:val="1"/>
  <w:tmFmtPref w:val="55057515"/>
  <w:tmCommentsPr>
    <w:tmCommentsPlace w:val="0"/>
    <w:tmCommentsWidth w:val="3119"/>
    <w:tmCommentsColor w:val="-1"/>
  </w:tmCommentsPr>
  <w:tmReviewPr>
    <w:tmReviewEnabled w:val="0"/>
    <w:tmReviewShow w:val="1"/>
    <w:tmReviewPrint w:val="0"/>
    <w:tmRevisionNum w:val="2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73244448"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color w:val="000000"/>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after="12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next w:val="para0"/>
    <w:rPr>
      <w:rFonts w:ascii="Verdana" w:hAnsi="Verdana" w:eastAsia="Verdana" w:cs="Verdana"/>
      <w:sz w:val="16"/>
      <w:szCs w:val="16"/>
    </w:rPr>
  </w:style>
  <w:style w:type="paragraph" w:styleId="para5">
    <w:name w:val="Header"/>
    <w:qFormat/>
    <w:basedOn w:val="para0"/>
  </w:style>
  <w:style w:type="character" w:styleId="char0" w:default="1">
    <w:name w:val="Default Paragraph Font"/>
  </w:style>
  <w:style w:type="character" w:styleId="char1">
    <w:name w:val="Footnote Reference"/>
    <w:basedOnNormal/>
    <w:rPr>
      <w:rFonts w:ascii="Verdana" w:hAnsi="Verdana" w:eastAsia="Verdana" w:cs="Verdana"/>
      <w:sz w:val="18"/>
      <w:szCs w:val="18"/>
      <w:vertAlign w:val="superscript"/>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color w:val="000000"/>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after="12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Footnote Text"/>
    <w:qFormat/>
    <w:basedOn w:val="para0"/>
    <w:next w:val="para0"/>
    <w:rPr>
      <w:rFonts w:ascii="Verdana" w:hAnsi="Verdana" w:eastAsia="Verdana" w:cs="Verdana"/>
      <w:sz w:val="16"/>
      <w:szCs w:val="16"/>
    </w:rPr>
  </w:style>
  <w:style w:type="paragraph" w:styleId="para5">
    <w:name w:val="Header"/>
    <w:qFormat/>
    <w:basedOn w:val="para0"/>
  </w:style>
  <w:style w:type="character" w:styleId="char0" w:default="1">
    <w:name w:val="Default Paragraph Font"/>
  </w:style>
  <w:style w:type="character" w:styleId="char1">
    <w:name w:val="Footnote Reference"/>
    <w:basedOnNormal/>
    <w:rPr>
      <w:rFonts w:ascii="Verdana" w:hAnsi="Verdana" w:eastAsia="Verdana" w:cs="Verdana"/>
      <w:sz w:val="18"/>
      <w:szCs w:val="18"/>
      <w:vertAlign w:val="superscript"/>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Willberg</cp:lastModifiedBy>
  <cp:revision>26</cp:revision>
  <cp:lastPrinted>2018-04-16T16:07:34Z</cp:lastPrinted>
  <dcterms:created xsi:type="dcterms:W3CDTF">2018-04-16T15:53:28Z</dcterms:created>
  <dcterms:modified xsi:type="dcterms:W3CDTF">2019-11-08T20:20:48Z</dcterms:modified>
</cp:coreProperties>
</file>